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AB" w:rsidRDefault="007A1214">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3GPP TSG-RAN WG2 Meeting #123bis</w:t>
      </w:r>
      <w:r>
        <w:rPr>
          <w:rFonts w:ascii="Arial" w:hAnsi="Arial" w:cs="Arial"/>
          <w:b/>
          <w:bCs/>
          <w:snapToGrid w:val="0"/>
          <w:kern w:val="0"/>
          <w:sz w:val="24"/>
          <w:lang w:eastAsia="ja-JP"/>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287654">
        <w:rPr>
          <w:rFonts w:ascii="Arial" w:hAnsi="Arial" w:cs="Arial"/>
          <w:b/>
          <w:bCs/>
          <w:snapToGrid w:val="0"/>
          <w:kern w:val="0"/>
          <w:sz w:val="24"/>
        </w:rPr>
        <w:t xml:space="preserve">   </w:t>
      </w:r>
      <w:r w:rsidR="00287654" w:rsidRPr="00287654">
        <w:rPr>
          <w:rFonts w:ascii="Arial" w:hAnsi="Arial" w:cs="Arial"/>
          <w:b/>
          <w:bCs/>
          <w:snapToGrid w:val="0"/>
          <w:kern w:val="0"/>
          <w:sz w:val="24"/>
          <w:lang w:eastAsia="ja-JP"/>
        </w:rPr>
        <w:t>R2-2310556</w:t>
      </w:r>
    </w:p>
    <w:p w:rsidR="006226AB" w:rsidRDefault="007A1214">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Xiamen, China, October 9</w:t>
      </w:r>
      <w:r w:rsidRPr="004E60FB">
        <w:rPr>
          <w:rFonts w:ascii="Arial" w:hAnsi="Arial" w:cs="Arial"/>
          <w:b/>
          <w:bCs/>
          <w:snapToGrid w:val="0"/>
          <w:kern w:val="0"/>
          <w:sz w:val="24"/>
          <w:vertAlign w:val="superscript"/>
          <w:lang w:eastAsia="ja-JP"/>
        </w:rPr>
        <w:t>th</w:t>
      </w:r>
      <w:r w:rsidR="004E60FB">
        <w:rPr>
          <w:rFonts w:ascii="Arial" w:hAnsi="Arial" w:cs="Arial"/>
          <w:b/>
          <w:bCs/>
          <w:snapToGrid w:val="0"/>
          <w:kern w:val="0"/>
          <w:sz w:val="24"/>
          <w:lang w:eastAsia="ja-JP"/>
        </w:rPr>
        <w:t xml:space="preserve"> </w:t>
      </w:r>
      <w:r>
        <w:rPr>
          <w:rFonts w:ascii="Arial" w:hAnsi="Arial" w:cs="Arial"/>
          <w:b/>
          <w:bCs/>
          <w:snapToGrid w:val="0"/>
          <w:kern w:val="0"/>
          <w:sz w:val="24"/>
          <w:lang w:eastAsia="ja-JP"/>
        </w:rPr>
        <w:t>– 13</w:t>
      </w:r>
      <w:r w:rsidRPr="004E60FB">
        <w:rPr>
          <w:rFonts w:ascii="Arial" w:hAnsi="Arial" w:cs="Arial"/>
          <w:b/>
          <w:bCs/>
          <w:snapToGrid w:val="0"/>
          <w:kern w:val="0"/>
          <w:sz w:val="24"/>
          <w:vertAlign w:val="superscript"/>
          <w:lang w:eastAsia="ja-JP"/>
        </w:rPr>
        <w:t>th</w:t>
      </w:r>
      <w:r>
        <w:rPr>
          <w:rFonts w:ascii="Arial" w:hAnsi="Arial" w:cs="Arial"/>
          <w:b/>
          <w:bCs/>
          <w:snapToGrid w:val="0"/>
          <w:kern w:val="0"/>
          <w:sz w:val="24"/>
          <w:lang w:eastAsia="ja-JP"/>
        </w:rPr>
        <w:t>, 2023</w:t>
      </w:r>
      <w:bookmarkStart w:id="0" w:name="_GoBack"/>
      <w:bookmarkEnd w:id="0"/>
    </w:p>
    <w:p w:rsidR="006226AB" w:rsidRDefault="006226A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6226AB" w:rsidRDefault="007A121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t>7.3.5</w:t>
      </w:r>
    </w:p>
    <w:p w:rsidR="006226AB" w:rsidRDefault="007A121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The remaining issues</w:t>
      </w:r>
      <w:r>
        <w:rPr>
          <w:rFonts w:ascii="Arial" w:hAnsi="Arial" w:cs="Arial"/>
          <w:b/>
          <w:bCs/>
          <w:snapToGrid w:val="0"/>
          <w:kern w:val="0"/>
          <w:sz w:val="24"/>
        </w:rPr>
        <w:t xml:space="preserve"> on connected mode mobility</w:t>
      </w:r>
    </w:p>
    <w:p w:rsidR="006226AB" w:rsidRDefault="007A121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6226AB" w:rsidRDefault="007A121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6226AB" w:rsidRDefault="007A121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226AB" w:rsidRDefault="007A1214">
      <w:pPr>
        <w:spacing w:after="0"/>
        <w:rPr>
          <w:rFonts w:ascii="Arial" w:hAnsi="Arial" w:cs="Arial"/>
          <w:bCs/>
          <w:sz w:val="20"/>
          <w:szCs w:val="20"/>
        </w:rPr>
      </w:pPr>
      <w:r>
        <w:rPr>
          <w:rFonts w:ascii="Arial" w:hAnsi="Arial" w:cs="Arial"/>
          <w:bCs/>
          <w:kern w:val="0"/>
          <w:sz w:val="20"/>
          <w:szCs w:val="20"/>
        </w:rPr>
        <w:t xml:space="preserve">In RAN#98, a new WID [1] of Network energy savings for NR has been agreed. And the </w:t>
      </w:r>
      <w:r>
        <w:rPr>
          <w:rFonts w:ascii="Arial" w:hAnsi="Arial" w:cs="Arial"/>
          <w:bCs/>
          <w:sz w:val="20"/>
          <w:szCs w:val="20"/>
        </w:rPr>
        <w:t>objective about CHO enhancement is the following:</w:t>
      </w:r>
    </w:p>
    <w:p w:rsidR="006226AB" w:rsidRDefault="007A1214">
      <w:pPr>
        <w:numPr>
          <w:ilvl w:val="0"/>
          <w:numId w:val="4"/>
        </w:numPr>
        <w:spacing w:beforeLines="50" w:before="156" w:afterLines="50" w:after="156" w:line="260" w:lineRule="auto"/>
        <w:ind w:left="629"/>
        <w:rPr>
          <w:rFonts w:ascii="Arial" w:hAnsi="Arial" w:cs="Arial"/>
          <w:bCs/>
          <w:i/>
          <w:sz w:val="20"/>
          <w:szCs w:val="20"/>
        </w:rPr>
      </w:pPr>
      <w:r>
        <w:rPr>
          <w:rFonts w:ascii="Arial" w:hAnsi="Arial" w:cs="Arial"/>
          <w:bCs/>
          <w:i/>
          <w:sz w:val="20"/>
          <w:szCs w:val="20"/>
        </w:rPr>
        <w:t>Specify CHO procedure enhancement(s) in case source/target cell is in NES mode [RAN2]</w:t>
      </w:r>
    </w:p>
    <w:p w:rsidR="006226AB" w:rsidRDefault="007A1214">
      <w:pPr>
        <w:spacing w:line="240" w:lineRule="auto"/>
        <w:rPr>
          <w:rFonts w:ascii="Arial" w:hAnsi="Arial" w:cs="Arial"/>
          <w:bCs/>
          <w:kern w:val="0"/>
          <w:sz w:val="20"/>
          <w:szCs w:val="20"/>
        </w:rPr>
      </w:pPr>
      <w:r>
        <w:rPr>
          <w:rFonts w:ascii="Arial" w:hAnsi="Arial" w:cs="Arial"/>
          <w:bCs/>
          <w:kern w:val="0"/>
          <w:sz w:val="20"/>
          <w:szCs w:val="20"/>
        </w:rPr>
        <w:t xml:space="preserve">In this paper, we will further discuss the </w:t>
      </w:r>
      <w:r>
        <w:rPr>
          <w:rFonts w:ascii="Arial" w:hAnsi="Arial" w:cs="Arial"/>
          <w:bCs/>
          <w:sz w:val="20"/>
          <w:szCs w:val="20"/>
        </w:rPr>
        <w:t>CHO enhancement for NES, and discuss the impact on RAN2 specification.</w:t>
      </w:r>
    </w:p>
    <w:p w:rsidR="006226AB" w:rsidRDefault="007A121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bookmarkStart w:id="3" w:name="_Toc12718547"/>
      <w:r>
        <w:rPr>
          <w:rFonts w:ascii="Arial" w:eastAsia="宋体" w:hAnsi="Arial" w:cs="Arial"/>
          <w:b w:val="0"/>
          <w:bCs w:val="0"/>
          <w:kern w:val="0"/>
          <w:sz w:val="32"/>
          <w:szCs w:val="36"/>
        </w:rPr>
        <w:t>Discussion</w:t>
      </w:r>
    </w:p>
    <w:p w:rsidR="006226AB" w:rsidRDefault="007A1214">
      <w:pPr>
        <w:spacing w:before="120" w:after="120"/>
        <w:rPr>
          <w:rFonts w:ascii="Arial" w:hAnsi="Arial" w:cs="Arial"/>
          <w:sz w:val="20"/>
          <w:szCs w:val="20"/>
        </w:rPr>
      </w:pPr>
      <w:bookmarkStart w:id="4" w:name="OLE_LINK2"/>
      <w:r>
        <w:rPr>
          <w:rFonts w:ascii="Arial" w:hAnsi="Arial" w:cs="Arial"/>
          <w:sz w:val="20"/>
          <w:szCs w:val="20"/>
        </w:rPr>
        <w:t>In RAN2#12</w:t>
      </w:r>
      <w:r>
        <w:rPr>
          <w:rFonts w:ascii="Arial" w:hAnsi="Arial" w:cs="Arial" w:hint="eastAsia"/>
          <w:sz w:val="20"/>
          <w:szCs w:val="20"/>
        </w:rPr>
        <w:t>3</w:t>
      </w:r>
      <w:r>
        <w:rPr>
          <w:rFonts w:ascii="Arial" w:hAnsi="Arial" w:cs="Arial"/>
          <w:sz w:val="20"/>
          <w:szCs w:val="20"/>
        </w:rPr>
        <w:t xml:space="preserve"> meeting, the agreements about mobility enhancements for NES are as below:</w:t>
      </w:r>
    </w:p>
    <w:p w:rsidR="006226AB" w:rsidRDefault="007A1214">
      <w:pPr>
        <w:pStyle w:val="Doc-text2"/>
        <w:pBdr>
          <w:top w:val="single" w:sz="4" w:space="1" w:color="auto"/>
          <w:left w:val="single" w:sz="4" w:space="4" w:color="auto"/>
          <w:bottom w:val="single" w:sz="4" w:space="1" w:color="auto"/>
          <w:right w:val="single" w:sz="4" w:space="4" w:color="auto"/>
        </w:pBdr>
      </w:pPr>
      <w:r>
        <w:rPr>
          <w:b/>
          <w:bCs/>
        </w:rPr>
        <w:t>Agreements</w:t>
      </w:r>
    </w:p>
    <w:p w:rsidR="006226AB" w:rsidRDefault="007A1214">
      <w:pPr>
        <w:pStyle w:val="Doc-text2"/>
        <w:numPr>
          <w:ilvl w:val="0"/>
          <w:numId w:val="5"/>
        </w:numPr>
        <w:pBdr>
          <w:top w:val="single" w:sz="4" w:space="1" w:color="auto"/>
          <w:left w:val="single" w:sz="4" w:space="4" w:color="auto"/>
          <w:bottom w:val="single" w:sz="4" w:space="1" w:color="auto"/>
          <w:right w:val="single" w:sz="4" w:space="4" w:color="auto"/>
        </w:pBdr>
      </w:pPr>
      <w:r>
        <w:t>We will support the CHO triggers for the use case of turning off the cell</w:t>
      </w:r>
      <w:r>
        <w:rPr>
          <w:rFonts w:hint="eastAsia"/>
          <w:lang w:val="en-US" w:eastAsia="zh-CN"/>
        </w:rPr>
        <w:t>.</w:t>
      </w:r>
      <w:r>
        <w:t xml:space="preserve"> </w:t>
      </w:r>
    </w:p>
    <w:p w:rsidR="006226AB" w:rsidRDefault="007A1214">
      <w:pPr>
        <w:pStyle w:val="Doc-text2"/>
        <w:numPr>
          <w:ilvl w:val="0"/>
          <w:numId w:val="5"/>
        </w:numPr>
        <w:pBdr>
          <w:top w:val="single" w:sz="4" w:space="1" w:color="auto"/>
          <w:left w:val="single" w:sz="4" w:space="4" w:color="auto"/>
          <w:bottom w:val="single" w:sz="4" w:space="1" w:color="auto"/>
          <w:right w:val="single" w:sz="4" w:space="4" w:color="auto"/>
        </w:pBdr>
      </w:pPr>
      <w:r>
        <w:t>(At least for cell DTX/DRX) Time-based CHO is not to be considered in NES.</w:t>
      </w:r>
    </w:p>
    <w:p w:rsidR="006226AB" w:rsidRDefault="007A1214">
      <w:pPr>
        <w:pStyle w:val="Doc-text2"/>
        <w:numPr>
          <w:ilvl w:val="0"/>
          <w:numId w:val="5"/>
        </w:numPr>
        <w:pBdr>
          <w:top w:val="single" w:sz="4" w:space="1" w:color="auto"/>
          <w:left w:val="single" w:sz="4" w:space="4" w:color="auto"/>
          <w:bottom w:val="single" w:sz="4" w:space="1" w:color="auto"/>
          <w:right w:val="single" w:sz="4" w:space="4" w:color="auto"/>
        </w:pBdr>
        <w:rPr>
          <w:rFonts w:cs="Arial"/>
          <w:szCs w:val="20"/>
        </w:rPr>
      </w:pPr>
      <w:r>
        <w:t>Do not consider using an indication in SIB1 for triggering NES CHO execution condition</w:t>
      </w:r>
    </w:p>
    <w:p w:rsidR="006226AB" w:rsidRDefault="007A1214">
      <w:pPr>
        <w:spacing w:before="120" w:after="120" w:line="240" w:lineRule="auto"/>
        <w:rPr>
          <w:rFonts w:ascii="Arial" w:hAnsi="Arial" w:cs="Arial"/>
          <w:sz w:val="20"/>
          <w:szCs w:val="20"/>
        </w:rPr>
      </w:pPr>
      <w:r>
        <w:rPr>
          <w:rFonts w:ascii="Arial" w:hAnsi="Arial" w:cs="Arial" w:hint="eastAsia"/>
          <w:sz w:val="20"/>
          <w:szCs w:val="20"/>
        </w:rPr>
        <w:t xml:space="preserve">First of all, in the case of turning off the cell, UE should be handovered to other cell before the serving cell is turned off. Considering turning off the cell generally needs a long term evaluation, gNB could estimate the turning-off time and configure the triggering time of CHO configuration at advance. The time-based CHO combing with </w:t>
      </w:r>
      <w:r>
        <w:rPr>
          <w:rFonts w:ascii="Arial" w:hAnsi="Arial" w:cs="Arial"/>
          <w:sz w:val="20"/>
          <w:szCs w:val="20"/>
        </w:rPr>
        <w:t>Event A3, A4, A5</w:t>
      </w:r>
      <w:r>
        <w:rPr>
          <w:rFonts w:ascii="Arial" w:hAnsi="Arial" w:cs="Arial" w:hint="eastAsia"/>
          <w:sz w:val="20"/>
          <w:szCs w:val="20"/>
        </w:rPr>
        <w:t xml:space="preserve"> with a lower threshold could trigger a handover just before the serving cell is turned off. Hence, time-based CHO is considered for the use case of turning off the cell. For the UEs without GNSS, due to the limited number, legacy handover procedure could be used.</w:t>
      </w:r>
    </w:p>
    <w:p w:rsidR="006226AB" w:rsidRDefault="007A1214">
      <w:pPr>
        <w:spacing w:before="120" w:after="120" w:line="240" w:lineRule="auto"/>
        <w:rPr>
          <w:rFonts w:ascii="Arial" w:hAnsi="Arial" w:cs="Arial"/>
          <w:b/>
          <w:bCs/>
          <w:sz w:val="20"/>
          <w:szCs w:val="20"/>
        </w:rPr>
      </w:pPr>
      <w:r>
        <w:rPr>
          <w:rFonts w:ascii="Arial" w:hAnsi="Arial" w:cs="Arial" w:hint="eastAsia"/>
          <w:b/>
          <w:bCs/>
          <w:sz w:val="20"/>
          <w:szCs w:val="20"/>
        </w:rPr>
        <w:t>Proposal 1: Time-based CHO is considered for the use case of turning off the cell.</w:t>
      </w:r>
    </w:p>
    <w:p w:rsidR="006226AB" w:rsidRDefault="007A1214">
      <w:pPr>
        <w:spacing w:before="120" w:after="120" w:line="240" w:lineRule="auto"/>
        <w:rPr>
          <w:rFonts w:ascii="Arial" w:hAnsi="Arial" w:cs="Arial"/>
          <w:sz w:val="20"/>
          <w:szCs w:val="20"/>
        </w:rPr>
      </w:pPr>
      <w:r>
        <w:rPr>
          <w:rFonts w:ascii="Arial" w:hAnsi="Arial" w:cs="Arial" w:hint="eastAsia"/>
          <w:sz w:val="20"/>
          <w:szCs w:val="20"/>
        </w:rPr>
        <w:t xml:space="preserve">Moreover, if the </w:t>
      </w:r>
      <w:r>
        <w:rPr>
          <w:rFonts w:ascii="Arial" w:hAnsi="Arial" w:cs="Arial"/>
          <w:sz w:val="20"/>
          <w:szCs w:val="20"/>
        </w:rPr>
        <w:t>source cell enable</w:t>
      </w:r>
      <w:r>
        <w:rPr>
          <w:rFonts w:ascii="Arial" w:hAnsi="Arial" w:cs="Arial" w:hint="eastAsia"/>
          <w:sz w:val="20"/>
          <w:szCs w:val="20"/>
        </w:rPr>
        <w:t>s</w:t>
      </w:r>
      <w:r>
        <w:rPr>
          <w:rFonts w:ascii="Arial" w:hAnsi="Arial" w:cs="Arial"/>
          <w:sz w:val="20"/>
          <w:szCs w:val="20"/>
        </w:rPr>
        <w:t xml:space="preserve"> cell DTX/ DRX, </w:t>
      </w:r>
      <w:r>
        <w:rPr>
          <w:rFonts w:ascii="Arial" w:hAnsi="Arial" w:cs="Arial" w:hint="eastAsia"/>
          <w:sz w:val="20"/>
          <w:szCs w:val="20"/>
        </w:rPr>
        <w:t xml:space="preserve">it means the source cell enters into NES mode. If the </w:t>
      </w:r>
      <w:r>
        <w:rPr>
          <w:rFonts w:ascii="Arial" w:hAnsi="Arial" w:cs="Arial"/>
          <w:sz w:val="20"/>
          <w:szCs w:val="20"/>
        </w:rPr>
        <w:t>source cell enable</w:t>
      </w:r>
      <w:r>
        <w:rPr>
          <w:rFonts w:ascii="Arial" w:hAnsi="Arial" w:cs="Arial" w:hint="eastAsia"/>
          <w:sz w:val="20"/>
          <w:szCs w:val="20"/>
        </w:rPr>
        <w:t>s</w:t>
      </w:r>
      <w:r>
        <w:rPr>
          <w:rFonts w:ascii="Arial" w:hAnsi="Arial" w:cs="Arial"/>
          <w:sz w:val="20"/>
          <w:szCs w:val="20"/>
        </w:rPr>
        <w:t xml:space="preserve"> cell DTX/ DRX</w:t>
      </w:r>
      <w:r>
        <w:rPr>
          <w:rFonts w:ascii="Arial" w:hAnsi="Arial" w:cs="Arial" w:hint="eastAsia"/>
          <w:sz w:val="20"/>
          <w:szCs w:val="20"/>
        </w:rPr>
        <w:t xml:space="preserve">, and </w:t>
      </w:r>
      <w:r>
        <w:rPr>
          <w:rFonts w:ascii="Arial" w:hAnsi="Arial" w:cs="Arial"/>
          <w:sz w:val="20"/>
          <w:szCs w:val="20"/>
        </w:rPr>
        <w:t xml:space="preserve">the discontinuous transmission or reception would </w:t>
      </w:r>
      <w:r>
        <w:rPr>
          <w:rFonts w:ascii="Arial" w:hAnsi="Arial" w:cs="Arial" w:hint="eastAsia"/>
          <w:sz w:val="20"/>
          <w:szCs w:val="20"/>
        </w:rPr>
        <w:t xml:space="preserve">cause </w:t>
      </w:r>
      <w:r>
        <w:rPr>
          <w:rFonts w:ascii="Arial" w:hAnsi="Arial" w:cs="Arial"/>
          <w:sz w:val="20"/>
          <w:szCs w:val="20"/>
        </w:rPr>
        <w:t>the UE performance deteriorat</w:t>
      </w:r>
      <w:r>
        <w:rPr>
          <w:rFonts w:ascii="Arial" w:hAnsi="Arial" w:cs="Arial" w:hint="eastAsia"/>
          <w:sz w:val="20"/>
          <w:szCs w:val="20"/>
        </w:rPr>
        <w:t>ion, a hanover is preferred. From our understanding, the activated DRX/DTX pattern won</w:t>
      </w:r>
      <w:r>
        <w:rPr>
          <w:rFonts w:ascii="Arial" w:hAnsi="Arial" w:cs="Arial"/>
          <w:sz w:val="20"/>
          <w:szCs w:val="20"/>
        </w:rPr>
        <w:t>’</w:t>
      </w:r>
      <w:r>
        <w:rPr>
          <w:rFonts w:ascii="Arial" w:hAnsi="Arial" w:cs="Arial" w:hint="eastAsia"/>
          <w:sz w:val="20"/>
          <w:szCs w:val="20"/>
        </w:rPr>
        <w:t xml:space="preserve">t cause the obvious system </w:t>
      </w:r>
      <w:r>
        <w:rPr>
          <w:rFonts w:ascii="Arial" w:hAnsi="Arial" w:cs="Arial"/>
          <w:sz w:val="20"/>
          <w:szCs w:val="20"/>
        </w:rPr>
        <w:t>performance deteriorat</w:t>
      </w:r>
      <w:r>
        <w:rPr>
          <w:rFonts w:ascii="Arial" w:hAnsi="Arial" w:cs="Arial" w:hint="eastAsia"/>
          <w:sz w:val="20"/>
          <w:szCs w:val="20"/>
        </w:rPr>
        <w:t xml:space="preserve">ion. The number of UE whose performance will </w:t>
      </w:r>
      <w:r>
        <w:rPr>
          <w:rFonts w:ascii="Arial" w:hAnsi="Arial" w:cs="Arial"/>
          <w:sz w:val="20"/>
          <w:szCs w:val="20"/>
        </w:rPr>
        <w:t>deteriorat</w:t>
      </w:r>
      <w:r>
        <w:rPr>
          <w:rFonts w:ascii="Arial" w:hAnsi="Arial" w:cs="Arial" w:hint="eastAsia"/>
          <w:sz w:val="20"/>
          <w:szCs w:val="20"/>
        </w:rPr>
        <w:t>e due to the activated DRX/DTX pattern is few, thus, the RRC reconfiguration procedure to trigger the handover won</w:t>
      </w:r>
      <w:r>
        <w:rPr>
          <w:rFonts w:ascii="Arial" w:hAnsi="Arial" w:cs="Arial"/>
          <w:sz w:val="20"/>
          <w:szCs w:val="20"/>
        </w:rPr>
        <w:t>’</w:t>
      </w:r>
      <w:r>
        <w:rPr>
          <w:rFonts w:ascii="Arial" w:hAnsi="Arial" w:cs="Arial" w:hint="eastAsia"/>
          <w:sz w:val="20"/>
          <w:szCs w:val="20"/>
        </w:rPr>
        <w:t xml:space="preserve">t cause the heavy load of signaling. Specially, a RRC reconfiguration could be send to configure the </w:t>
      </w:r>
      <w:r>
        <w:rPr>
          <w:rFonts w:ascii="Arial" w:hAnsi="Arial" w:cs="Arial"/>
          <w:sz w:val="20"/>
          <w:szCs w:val="20"/>
        </w:rPr>
        <w:t>Event A3, A4, A5</w:t>
      </w:r>
      <w:r>
        <w:rPr>
          <w:rFonts w:ascii="Arial" w:hAnsi="Arial" w:cs="Arial" w:hint="eastAsia"/>
          <w:sz w:val="20"/>
          <w:szCs w:val="20"/>
        </w:rPr>
        <w:t xml:space="preserve"> </w:t>
      </w:r>
      <w:r>
        <w:rPr>
          <w:rFonts w:ascii="Arial" w:hAnsi="Arial" w:cs="Arial" w:hint="eastAsia"/>
          <w:sz w:val="20"/>
          <w:szCs w:val="20"/>
        </w:rPr>
        <w:lastRenderedPageBreak/>
        <w:t xml:space="preserve">with a lower threshold to trigger a handover before the </w:t>
      </w:r>
      <w:r>
        <w:rPr>
          <w:rFonts w:ascii="Arial" w:hAnsi="Arial" w:cs="Arial"/>
          <w:sz w:val="20"/>
          <w:szCs w:val="20"/>
        </w:rPr>
        <w:t>discontinuous transmission or reception</w:t>
      </w:r>
      <w:r>
        <w:rPr>
          <w:rFonts w:ascii="Arial" w:hAnsi="Arial" w:cs="Arial" w:hint="eastAsia"/>
          <w:sz w:val="20"/>
          <w:szCs w:val="20"/>
        </w:rPr>
        <w:t xml:space="preserve"> takes effect. In final, the legacy handover procedure is considered for the use case of cell DTX/DRX</w:t>
      </w:r>
    </w:p>
    <w:p w:rsidR="006226AB" w:rsidRDefault="007A1214">
      <w:pPr>
        <w:spacing w:before="120" w:after="120" w:line="240" w:lineRule="auto"/>
        <w:rPr>
          <w:rFonts w:ascii="Arial" w:hAnsi="Arial" w:cs="Arial"/>
          <w:b/>
          <w:bCs/>
          <w:sz w:val="20"/>
          <w:szCs w:val="20"/>
        </w:rPr>
      </w:pPr>
      <w:r>
        <w:rPr>
          <w:rFonts w:ascii="Arial" w:hAnsi="Arial" w:cs="Arial" w:hint="eastAsia"/>
          <w:b/>
          <w:bCs/>
          <w:sz w:val="20"/>
          <w:szCs w:val="20"/>
        </w:rPr>
        <w:t>Proposal 2: Legacy handover procedure is considered for the use case of cell DTX/DRX.</w:t>
      </w:r>
    </w:p>
    <w:p w:rsidR="006226AB" w:rsidRDefault="007A1214">
      <w:pPr>
        <w:spacing w:before="200" w:after="120" w:line="260" w:lineRule="auto"/>
        <w:rPr>
          <w:rFonts w:ascii="Arial" w:hAnsi="Arial" w:cs="Arial"/>
          <w:sz w:val="20"/>
          <w:szCs w:val="20"/>
        </w:rPr>
      </w:pPr>
      <w:r>
        <w:rPr>
          <w:rFonts w:ascii="Arial" w:hAnsi="Arial" w:cs="Arial"/>
          <w:sz w:val="20"/>
          <w:szCs w:val="20"/>
        </w:rPr>
        <w:t>For the selection of the target cell, considering UE doesn’t know the load and scheduling of the cell, it is unable to distinguish a cell that could allocate the most resource for it. But gNB could obtain the information of the neighbor cell, the information could include the load, NES mode and so on. From network perspective, if the neighbor cell enables NES mode, but it still could supply better service quality for UE, it could be the candidate cell. Hence, it is up to NW implementation to select some candidate cells and configure them to UE via CHO. If there are more than one triggered cells, it is up to UE to select one of the triggered cells as the selected cell for reconfiguration execution.</w:t>
      </w:r>
    </w:p>
    <w:p w:rsidR="006226AB" w:rsidRDefault="007A1214">
      <w:pPr>
        <w:spacing w:before="200" w:after="120" w:line="260" w:lineRule="auto"/>
        <w:rPr>
          <w:rFonts w:ascii="Arial" w:hAnsi="Arial" w:cs="Arial"/>
          <w:sz w:val="20"/>
          <w:szCs w:val="20"/>
        </w:rPr>
      </w:pPr>
      <w:r>
        <w:rPr>
          <w:rFonts w:ascii="Arial" w:hAnsi="Arial" w:cs="Arial"/>
          <w:b/>
          <w:bCs/>
          <w:sz w:val="20"/>
          <w:szCs w:val="20"/>
        </w:rPr>
        <w:t xml:space="preserve">Proposal </w:t>
      </w:r>
      <w:r>
        <w:rPr>
          <w:rFonts w:ascii="Arial" w:hAnsi="Arial" w:cs="Arial" w:hint="eastAsia"/>
          <w:b/>
          <w:bCs/>
          <w:sz w:val="20"/>
          <w:szCs w:val="20"/>
        </w:rPr>
        <w:t>3</w:t>
      </w:r>
      <w:r>
        <w:rPr>
          <w:rFonts w:ascii="Arial" w:hAnsi="Arial" w:cs="Arial"/>
          <w:b/>
          <w:bCs/>
          <w:sz w:val="20"/>
          <w:szCs w:val="20"/>
        </w:rPr>
        <w:t>: It is up to NW implementation to configure the candidate cells for CHO and it is up to UE implementation to select one of the triggered cells if there are more than one, i.e. the existing conditional reconfiguration execution applies.</w:t>
      </w:r>
    </w:p>
    <w:bookmarkEnd w:id="3"/>
    <w:bookmarkEnd w:id="4"/>
    <w:p w:rsidR="006226AB" w:rsidRDefault="007A121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6226AB" w:rsidRDefault="007A1214">
      <w:pPr>
        <w:rPr>
          <w:rFonts w:ascii="Arial" w:hAnsi="Arial" w:cs="Arial"/>
          <w:bCs/>
          <w:kern w:val="0"/>
          <w:sz w:val="20"/>
          <w:szCs w:val="20"/>
        </w:rPr>
      </w:pPr>
      <w:r>
        <w:rPr>
          <w:rFonts w:ascii="Arial" w:hAnsi="Arial" w:cs="Arial"/>
          <w:bCs/>
          <w:kern w:val="0"/>
          <w:sz w:val="20"/>
          <w:szCs w:val="20"/>
        </w:rPr>
        <w:t xml:space="preserve">Based on the analysis in previous sections, the following observations and proposals are given: </w:t>
      </w:r>
    </w:p>
    <w:p w:rsidR="006226AB" w:rsidRDefault="007A1214">
      <w:pPr>
        <w:spacing w:before="120" w:after="120" w:line="240" w:lineRule="auto"/>
        <w:rPr>
          <w:rFonts w:ascii="Arial" w:hAnsi="Arial" w:cs="Arial"/>
          <w:b/>
          <w:bCs/>
          <w:sz w:val="20"/>
          <w:szCs w:val="20"/>
        </w:rPr>
      </w:pPr>
      <w:r>
        <w:rPr>
          <w:rFonts w:ascii="Arial" w:hAnsi="Arial" w:cs="Arial" w:hint="eastAsia"/>
          <w:b/>
          <w:bCs/>
          <w:sz w:val="20"/>
          <w:szCs w:val="20"/>
        </w:rPr>
        <w:t>Proposal 1: Time-based CHO is considered for the use case of turning off the cell.</w:t>
      </w:r>
    </w:p>
    <w:p w:rsidR="006226AB" w:rsidRDefault="007A1214">
      <w:pPr>
        <w:spacing w:before="120" w:after="120" w:line="240" w:lineRule="auto"/>
        <w:rPr>
          <w:rFonts w:ascii="Arial" w:hAnsi="Arial" w:cs="Arial"/>
          <w:b/>
          <w:bCs/>
          <w:sz w:val="20"/>
          <w:szCs w:val="20"/>
        </w:rPr>
      </w:pPr>
      <w:r>
        <w:rPr>
          <w:rFonts w:ascii="Arial" w:hAnsi="Arial" w:cs="Arial" w:hint="eastAsia"/>
          <w:b/>
          <w:bCs/>
          <w:sz w:val="20"/>
          <w:szCs w:val="20"/>
        </w:rPr>
        <w:t>Proposal 2: Legacy handover procedure is considered for the use case of cell DTX/DRX.</w:t>
      </w:r>
    </w:p>
    <w:p w:rsidR="006226AB" w:rsidRDefault="007A1214">
      <w:pPr>
        <w:spacing w:before="200" w:after="120" w:line="260" w:lineRule="auto"/>
        <w:rPr>
          <w:rFonts w:ascii="Arial" w:hAnsi="Arial" w:cs="Arial"/>
          <w:bCs/>
          <w:kern w:val="0"/>
          <w:sz w:val="20"/>
          <w:szCs w:val="20"/>
        </w:rPr>
      </w:pPr>
      <w:r>
        <w:rPr>
          <w:rFonts w:ascii="Arial" w:hAnsi="Arial" w:cs="Arial"/>
          <w:b/>
          <w:bCs/>
          <w:sz w:val="20"/>
          <w:szCs w:val="20"/>
        </w:rPr>
        <w:t xml:space="preserve">Proposal </w:t>
      </w:r>
      <w:r>
        <w:rPr>
          <w:rFonts w:ascii="Arial" w:hAnsi="Arial" w:cs="Arial" w:hint="eastAsia"/>
          <w:b/>
          <w:bCs/>
          <w:sz w:val="20"/>
          <w:szCs w:val="20"/>
        </w:rPr>
        <w:t>3</w:t>
      </w:r>
      <w:r>
        <w:rPr>
          <w:rFonts w:ascii="Arial" w:hAnsi="Arial" w:cs="Arial"/>
          <w:b/>
          <w:bCs/>
          <w:sz w:val="20"/>
          <w:szCs w:val="20"/>
        </w:rPr>
        <w:t>: It is up to NW implementation to configure the candidate cells for CHO and it is up to UE implementation to select one of the triggered cells if there are more than one, i.e. the existing conditional reconfiguration execution applies.</w:t>
      </w:r>
    </w:p>
    <w:p w:rsidR="006226AB" w:rsidRDefault="007A121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6226AB" w:rsidRDefault="007A1214">
      <w:pPr>
        <w:pStyle w:val="Doc-title"/>
        <w:rPr>
          <w:rFonts w:cs="Arial"/>
        </w:rPr>
      </w:pPr>
      <w:r>
        <w:rPr>
          <w:rFonts w:cs="Arial"/>
        </w:rPr>
        <w:t>[1] RP-223540</w:t>
      </w:r>
      <w:r>
        <w:rPr>
          <w:rFonts w:cs="Arial"/>
          <w:lang w:val="en-US" w:eastAsia="zh-CN"/>
        </w:rPr>
        <w:t xml:space="preserve"> </w:t>
      </w:r>
      <w:r>
        <w:rPr>
          <w:rFonts w:cs="Arial"/>
        </w:rPr>
        <w:t>New WID proposal: Network energy savings for NR</w:t>
      </w:r>
    </w:p>
    <w:sectPr w:rsidR="006226AB">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8FE" w:rsidRDefault="009C78FE">
      <w:pPr>
        <w:spacing w:line="240" w:lineRule="auto"/>
      </w:pPr>
      <w:r>
        <w:separator/>
      </w:r>
    </w:p>
  </w:endnote>
  <w:endnote w:type="continuationSeparator" w:id="0">
    <w:p w:rsidR="009C78FE" w:rsidRDefault="009C78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6AB" w:rsidRDefault="007A1214">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226AB" w:rsidRDefault="006226A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6AB" w:rsidRDefault="006226AB">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6AB" w:rsidRDefault="006226A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8FE" w:rsidRDefault="009C78FE">
      <w:pPr>
        <w:spacing w:line="240" w:lineRule="auto"/>
      </w:pPr>
      <w:r>
        <w:separator/>
      </w:r>
    </w:p>
  </w:footnote>
  <w:footnote w:type="continuationSeparator" w:id="0">
    <w:p w:rsidR="009C78FE" w:rsidRDefault="009C78F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6AB" w:rsidRDefault="006226A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6AB" w:rsidRDefault="006226AB">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6AB" w:rsidRDefault="006226A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BE9389"/>
    <w:multiLevelType w:val="singleLevel"/>
    <w:tmpl w:val="DBBE9389"/>
    <w:lvl w:ilvl="0">
      <w:start w:val="5"/>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7BD37F6"/>
    <w:multiLevelType w:val="singleLevel"/>
    <w:tmpl w:val="57BD37F6"/>
    <w:lvl w:ilvl="0">
      <w:start w:val="1"/>
      <w:numFmt w:val="decimal"/>
      <w:lvlText w:val="%1"/>
      <w:lvlJc w:val="left"/>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E9D52CC"/>
    <w:rsid w:val="9EFAE5DB"/>
    <w:rsid w:val="9FBB986D"/>
    <w:rsid w:val="9FCD3CF0"/>
    <w:rsid w:val="AAED6AB5"/>
    <w:rsid w:val="AF9EDE6A"/>
    <w:rsid w:val="B67B5BA5"/>
    <w:rsid w:val="B7FB43CC"/>
    <w:rsid w:val="BA7B23C6"/>
    <w:rsid w:val="BB875C30"/>
    <w:rsid w:val="BBFE2E4D"/>
    <w:rsid w:val="BCF62951"/>
    <w:rsid w:val="BDD7A583"/>
    <w:rsid w:val="BDE75687"/>
    <w:rsid w:val="BDEBCED3"/>
    <w:rsid w:val="BEB6CAF7"/>
    <w:rsid w:val="BEFFB0E6"/>
    <w:rsid w:val="BFEBF3AE"/>
    <w:rsid w:val="BFFBBEA5"/>
    <w:rsid w:val="BFFF72CF"/>
    <w:rsid w:val="BFFF780F"/>
    <w:rsid w:val="BFFFCBCA"/>
    <w:rsid w:val="C7DFB4AC"/>
    <w:rsid w:val="CCBB15ED"/>
    <w:rsid w:val="CE9E67C7"/>
    <w:rsid w:val="CEAFB2B9"/>
    <w:rsid w:val="CF15396B"/>
    <w:rsid w:val="CFAE86B2"/>
    <w:rsid w:val="CFF63241"/>
    <w:rsid w:val="D43706DF"/>
    <w:rsid w:val="D5FB3F0D"/>
    <w:rsid w:val="D6F90836"/>
    <w:rsid w:val="D7DED1BF"/>
    <w:rsid w:val="D9F29C34"/>
    <w:rsid w:val="DBE99028"/>
    <w:rsid w:val="DBEFA409"/>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4A7C83E"/>
    <w:rsid w:val="F559E748"/>
    <w:rsid w:val="F5F3635E"/>
    <w:rsid w:val="F6FF788E"/>
    <w:rsid w:val="F777AA4D"/>
    <w:rsid w:val="F7BECF00"/>
    <w:rsid w:val="F7DF6678"/>
    <w:rsid w:val="F8E92CAC"/>
    <w:rsid w:val="F8FF8E3B"/>
    <w:rsid w:val="F9EB4294"/>
    <w:rsid w:val="FA53B688"/>
    <w:rsid w:val="FAD3BCE7"/>
    <w:rsid w:val="FB8B8BB5"/>
    <w:rsid w:val="FB8FCA06"/>
    <w:rsid w:val="FBAF7EA2"/>
    <w:rsid w:val="FBDD3625"/>
    <w:rsid w:val="FBDE4F90"/>
    <w:rsid w:val="FBF973D7"/>
    <w:rsid w:val="FC7B360C"/>
    <w:rsid w:val="FCFFD4A2"/>
    <w:rsid w:val="FD3F8AAB"/>
    <w:rsid w:val="FDAF5273"/>
    <w:rsid w:val="FDF927ED"/>
    <w:rsid w:val="FDF98A7D"/>
    <w:rsid w:val="FE3FF48F"/>
    <w:rsid w:val="FE734873"/>
    <w:rsid w:val="FE73A405"/>
    <w:rsid w:val="FE76D704"/>
    <w:rsid w:val="FE9F16E7"/>
    <w:rsid w:val="FEED619E"/>
    <w:rsid w:val="FEFF1086"/>
    <w:rsid w:val="FF6F28DB"/>
    <w:rsid w:val="FF753C44"/>
    <w:rsid w:val="FFA78F7F"/>
    <w:rsid w:val="FFBFC660"/>
    <w:rsid w:val="FFBFFB76"/>
    <w:rsid w:val="FFCDA8A2"/>
    <w:rsid w:val="FFDF1C38"/>
    <w:rsid w:val="FFE7BA21"/>
    <w:rsid w:val="FFED9E97"/>
    <w:rsid w:val="FFF5E384"/>
    <w:rsid w:val="FFFB24FA"/>
    <w:rsid w:val="FFFDC50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87654"/>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0FB"/>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6AB"/>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1214"/>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8F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654"/>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A5F"/>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76A03B"/>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BEF0EC8"/>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AAD34"/>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D6B0B3"/>
    <w:rsid w:val="3FF97E2E"/>
    <w:rsid w:val="3FFB06E4"/>
    <w:rsid w:val="3FFEB5A7"/>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D5E10"/>
    <w:rsid w:val="59FF207E"/>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9F091A"/>
    <w:rsid w:val="5BA11B41"/>
    <w:rsid w:val="5BAC57D5"/>
    <w:rsid w:val="5BB60E07"/>
    <w:rsid w:val="5BB85E2E"/>
    <w:rsid w:val="5BBC15CD"/>
    <w:rsid w:val="5BC154FF"/>
    <w:rsid w:val="5BCE1DEC"/>
    <w:rsid w:val="5BDF914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7096C"/>
    <w:rsid w:val="5DF7CCEE"/>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AECB70"/>
    <w:rsid w:val="5FBF3FC2"/>
    <w:rsid w:val="5FC40B48"/>
    <w:rsid w:val="5FC41F4F"/>
    <w:rsid w:val="5FD80461"/>
    <w:rsid w:val="5FDF1EF7"/>
    <w:rsid w:val="5FE93E1D"/>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638B1"/>
    <w:rsid w:val="6FD77CB6"/>
    <w:rsid w:val="6FEF4CBF"/>
    <w:rsid w:val="6FF03265"/>
    <w:rsid w:val="6FF27EB0"/>
    <w:rsid w:val="6FF67217"/>
    <w:rsid w:val="6FF9A144"/>
    <w:rsid w:val="6FFA62FB"/>
    <w:rsid w:val="6FFF6334"/>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F5DB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C3461"/>
    <w:rsid w:val="77FD22D0"/>
    <w:rsid w:val="77FE1F75"/>
    <w:rsid w:val="77FE24F2"/>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D23C1"/>
    <w:rsid w:val="7BF553C8"/>
    <w:rsid w:val="7BF77ADB"/>
    <w:rsid w:val="7BF84150"/>
    <w:rsid w:val="7BFAF9D9"/>
    <w:rsid w:val="7BFD524D"/>
    <w:rsid w:val="7BFF3BBD"/>
    <w:rsid w:val="7BFF9164"/>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DF5129"/>
    <w:rsid w:val="7FEF49CD"/>
    <w:rsid w:val="7FF1301C"/>
    <w:rsid w:val="7FF5744B"/>
    <w:rsid w:val="7FFB039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E3BFAA-C4AD-4464-A22B-4B8D38A3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618</Words>
  <Characters>3529</Characters>
  <Application>Microsoft Office Word</Application>
  <DocSecurity>0</DocSecurity>
  <Lines>29</Lines>
  <Paragraphs>8</Paragraphs>
  <ScaleCrop>false</ScaleCrop>
  <Company>www.zte.com.cn</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19</cp:revision>
  <cp:lastPrinted>2113-01-08T00:00:00Z</cp:lastPrinted>
  <dcterms:created xsi:type="dcterms:W3CDTF">2023-04-10T10:04:00Z</dcterms:created>
  <dcterms:modified xsi:type="dcterms:W3CDTF">2023-09-28T12:56:00Z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